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sz w:val="32"/>
          <w:szCs w:val="32"/>
        </w:rPr>
      </w:pPr>
      <w:r>
        <w:rPr>
          <w:rFonts w:hint="eastAsia" w:ascii="宋体" w:hAnsi="宋体" w:cs="宋体"/>
          <w:b/>
          <w:bCs/>
          <w:sz w:val="32"/>
          <w:szCs w:val="32"/>
        </w:rPr>
        <w:t>附件1：</w:t>
      </w:r>
    </w:p>
    <w:p>
      <w:pPr>
        <w:rPr>
          <w:rFonts w:hint="eastAsia" w:ascii="宋体" w:hAnsi="宋体" w:cs="宋体"/>
          <w:b/>
          <w:bCs/>
          <w:sz w:val="32"/>
          <w:szCs w:val="32"/>
        </w:rPr>
      </w:pPr>
    </w:p>
    <w:p>
      <w:pPr>
        <w:jc w:val="center"/>
        <w:rPr>
          <w:rFonts w:hint="eastAsia" w:ascii="宋体" w:hAnsi="宋体" w:cs="宋体"/>
          <w:b/>
          <w:bCs/>
          <w:sz w:val="36"/>
          <w:szCs w:val="36"/>
        </w:rPr>
      </w:pPr>
      <w:r>
        <w:rPr>
          <w:rFonts w:hint="eastAsia" w:ascii="宋体" w:hAnsi="宋体" w:cs="宋体"/>
          <w:b/>
          <w:bCs/>
          <w:sz w:val="36"/>
          <w:szCs w:val="36"/>
        </w:rPr>
        <w:t>内蒙古不动产登记代理中介机构资信评级办法</w:t>
      </w:r>
    </w:p>
    <w:p>
      <w:pPr>
        <w:jc w:val="center"/>
        <w:rPr>
          <w:rFonts w:ascii="宋体" w:hAnsi="宋体" w:cs="宋体"/>
          <w:b/>
          <w:bCs/>
          <w:sz w:val="36"/>
          <w:szCs w:val="36"/>
        </w:rPr>
      </w:pPr>
      <w:r>
        <w:rPr>
          <w:rFonts w:hint="eastAsia" w:ascii="宋体" w:hAnsi="宋体" w:cs="宋体"/>
          <w:b/>
          <w:bCs/>
          <w:sz w:val="36"/>
          <w:szCs w:val="36"/>
        </w:rPr>
        <w:t>（试行）</w:t>
      </w:r>
    </w:p>
    <w:p>
      <w:pPr>
        <w:widowControl/>
        <w:ind w:right="300"/>
        <w:jc w:val="center"/>
        <w:rPr>
          <w:rFonts w:hint="eastAsia" w:ascii="黑体" w:hAnsi="黑体" w:eastAsia="黑体" w:cs="黑体"/>
          <w:kern w:val="0"/>
          <w:sz w:val="32"/>
          <w:szCs w:val="32"/>
        </w:rPr>
      </w:pPr>
    </w:p>
    <w:p>
      <w:pPr>
        <w:widowControl/>
        <w:ind w:right="300"/>
        <w:jc w:val="center"/>
        <w:rPr>
          <w:rFonts w:ascii="黑体" w:hAnsi="黑体" w:eastAsia="黑体" w:cs="黑体"/>
          <w:kern w:val="0"/>
          <w:sz w:val="32"/>
          <w:szCs w:val="32"/>
        </w:rPr>
      </w:pPr>
      <w:r>
        <w:rPr>
          <w:rFonts w:hint="eastAsia" w:ascii="黑体" w:hAnsi="黑体" w:eastAsia="黑体" w:cs="黑体"/>
          <w:kern w:val="0"/>
          <w:sz w:val="32"/>
          <w:szCs w:val="32"/>
        </w:rPr>
        <w:t>第一章  总 则</w:t>
      </w:r>
    </w:p>
    <w:p>
      <w:pPr>
        <w:ind w:firstLine="640" w:firstLineChars="200"/>
        <w:rPr>
          <w:rFonts w:ascii="仿宋" w:hAnsi="仿宋" w:eastAsia="仿宋" w:cs="仿宋"/>
          <w:kern w:val="0"/>
          <w:sz w:val="32"/>
          <w:szCs w:val="32"/>
        </w:rPr>
      </w:pPr>
      <w:r>
        <w:rPr>
          <w:rFonts w:hint="eastAsia" w:ascii="黑体" w:hAnsi="黑体" w:eastAsia="黑体" w:cs="仿宋"/>
          <w:bCs/>
          <w:kern w:val="0"/>
          <w:sz w:val="32"/>
          <w:szCs w:val="32"/>
        </w:rPr>
        <w:t>第一条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为加强内蒙古不动产登记代理中介机构诚信建设，形成有效的行业自律机制，提高不动产登记代理行业社会信誉，根据《民法典》</w:t>
      </w:r>
      <w:r>
        <w:rPr>
          <w:rFonts w:hint="eastAsia" w:ascii="仿宋" w:hAnsi="仿宋" w:eastAsia="仿宋" w:cs="仿宋"/>
          <w:sz w:val="32"/>
          <w:szCs w:val="32"/>
          <w:shd w:val="clear" w:color="auto" w:fill="FFFFFF"/>
        </w:rPr>
        <w:t>、《不动产登记暂行条例》、《优化营商环境条例》、《国务院办公厅关于压缩不动产登记办理时间的通知》（国办发〔2019〕8号）、自治区自然资源厅、发改委、政务服务局、税务局联合印发的《关于加快推进不动产登记信息共享集成和“互联网+不动产登记”工作的通知》（内自然资字〔2020〕296号）和《</w:t>
      </w:r>
      <w:r>
        <w:rPr>
          <w:rFonts w:hint="eastAsia" w:ascii="仿宋" w:hAnsi="仿宋" w:eastAsia="仿宋" w:cs="仿宋"/>
          <w:kern w:val="0"/>
          <w:sz w:val="32"/>
          <w:szCs w:val="32"/>
        </w:rPr>
        <w:t>关于加强不动产登记代理中介机构监督管理的通知</w:t>
      </w:r>
      <w:r>
        <w:rPr>
          <w:rFonts w:hint="eastAsia" w:ascii="仿宋" w:hAnsi="仿宋" w:eastAsia="仿宋" w:cs="仿宋"/>
          <w:sz w:val="32"/>
          <w:szCs w:val="32"/>
          <w:shd w:val="clear" w:color="auto" w:fill="FFFFFF"/>
        </w:rPr>
        <w:t>》（内土协〔2021〕6号）</w:t>
      </w:r>
      <w:r>
        <w:rPr>
          <w:rFonts w:hint="eastAsia" w:ascii="仿宋" w:hAnsi="仿宋" w:eastAsia="仿宋" w:cs="仿宋"/>
          <w:kern w:val="0"/>
          <w:sz w:val="32"/>
          <w:szCs w:val="32"/>
        </w:rPr>
        <w:t>等有关规定，结合我区不动产登记代理行业特点，制定本办法。</w:t>
      </w:r>
    </w:p>
    <w:p>
      <w:pPr>
        <w:ind w:firstLine="640" w:firstLineChars="200"/>
        <w:rPr>
          <w:rFonts w:ascii="仿宋" w:hAnsi="仿宋" w:eastAsia="仿宋" w:cs="仿宋"/>
          <w:kern w:val="0"/>
          <w:sz w:val="32"/>
          <w:szCs w:val="32"/>
        </w:rPr>
      </w:pPr>
      <w:r>
        <w:rPr>
          <w:rFonts w:hint="eastAsia" w:ascii="黑体" w:hAnsi="黑体" w:eastAsia="黑体" w:cs="仿宋"/>
          <w:bCs/>
          <w:kern w:val="0"/>
          <w:sz w:val="32"/>
          <w:szCs w:val="32"/>
        </w:rPr>
        <w:t>第二条</w:t>
      </w:r>
      <w:r>
        <w:rPr>
          <w:rFonts w:hint="eastAsia" w:ascii="仿宋" w:hAnsi="仿宋" w:eastAsia="仿宋" w:cs="仿宋"/>
          <w:b/>
          <w:bCs/>
          <w:kern w:val="0"/>
          <w:sz w:val="32"/>
          <w:szCs w:val="32"/>
        </w:rPr>
        <w:t xml:space="preserve"> </w:t>
      </w:r>
      <w:r>
        <w:rPr>
          <w:rFonts w:hint="eastAsia" w:ascii="仿宋" w:hAnsi="仿宋" w:eastAsia="仿宋" w:cs="仿宋"/>
          <w:bCs/>
          <w:kern w:val="0"/>
          <w:sz w:val="32"/>
          <w:szCs w:val="32"/>
        </w:rPr>
        <w:t>内蒙古</w:t>
      </w:r>
      <w:r>
        <w:rPr>
          <w:rFonts w:hint="eastAsia" w:ascii="仿宋" w:hAnsi="仿宋" w:eastAsia="仿宋" w:cs="仿宋"/>
          <w:kern w:val="0"/>
          <w:sz w:val="32"/>
          <w:szCs w:val="32"/>
        </w:rPr>
        <w:t>不动产登记代理中介机构资信评级是指内蒙古不动产调查登记与估价协会根据有关规定，开展行业自律、构建行业信用体系，对不动产登记代理中介机构会员执业能力和企业信用进行等级评定的活动。</w:t>
      </w:r>
    </w:p>
    <w:p>
      <w:pPr>
        <w:ind w:firstLine="640" w:firstLineChars="200"/>
        <w:rPr>
          <w:rFonts w:ascii="仿宋" w:hAnsi="仿宋" w:eastAsia="仿宋" w:cs="仿宋"/>
          <w:sz w:val="32"/>
          <w:szCs w:val="32"/>
        </w:rPr>
      </w:pPr>
      <w:r>
        <w:rPr>
          <w:rFonts w:hint="eastAsia" w:ascii="黑体" w:hAnsi="黑体" w:eastAsia="黑体" w:cs="仿宋"/>
          <w:bCs/>
          <w:kern w:val="0"/>
          <w:sz w:val="32"/>
          <w:szCs w:val="32"/>
        </w:rPr>
        <w:t>第三条</w:t>
      </w:r>
      <w:r>
        <w:rPr>
          <w:rFonts w:hint="eastAsia" w:ascii="仿宋" w:hAnsi="仿宋" w:eastAsia="仿宋" w:cs="仿宋"/>
          <w:sz w:val="32"/>
          <w:szCs w:val="32"/>
        </w:rPr>
        <w:t xml:space="preserve"> </w:t>
      </w:r>
      <w:r>
        <w:rPr>
          <w:rFonts w:hint="eastAsia" w:ascii="仿宋" w:hAnsi="仿宋" w:eastAsia="仿宋" w:cs="仿宋"/>
          <w:kern w:val="0"/>
          <w:sz w:val="32"/>
          <w:szCs w:val="32"/>
        </w:rPr>
        <w:t>内蒙古不动产调查登记与估价协会</w:t>
      </w:r>
      <w:r>
        <w:rPr>
          <w:rFonts w:hint="eastAsia" w:ascii="仿宋" w:hAnsi="仿宋" w:eastAsia="仿宋" w:cs="仿宋"/>
          <w:sz w:val="32"/>
          <w:szCs w:val="32"/>
        </w:rPr>
        <w:t>负责内蒙古不动产登记代理中介机构的资信等级评定。</w:t>
      </w:r>
    </w:p>
    <w:p>
      <w:pPr>
        <w:ind w:firstLine="640" w:firstLineChars="200"/>
        <w:rPr>
          <w:rFonts w:ascii="仿宋" w:hAnsi="仿宋" w:eastAsia="仿宋" w:cs="仿宋"/>
          <w:sz w:val="32"/>
          <w:szCs w:val="32"/>
        </w:rPr>
      </w:pPr>
      <w:r>
        <w:rPr>
          <w:rFonts w:hint="eastAsia" w:ascii="黑体" w:hAnsi="黑体" w:eastAsia="黑体"/>
          <w:kern w:val="0"/>
          <w:sz w:val="32"/>
          <w:szCs w:val="32"/>
        </w:rPr>
        <w:t>第四条</w:t>
      </w:r>
      <w:r>
        <w:rPr>
          <w:rStyle w:val="4"/>
          <w:rFonts w:hint="eastAsia" w:ascii="仿宋" w:hAnsi="仿宋" w:eastAsia="仿宋" w:cs="仿宋"/>
          <w:color w:val="333333"/>
          <w:sz w:val="32"/>
          <w:szCs w:val="32"/>
        </w:rPr>
        <w:t xml:space="preserve"> </w:t>
      </w:r>
      <w:r>
        <w:rPr>
          <w:rFonts w:hint="eastAsia" w:ascii="仿宋" w:hAnsi="仿宋" w:eastAsia="仿宋" w:cs="仿宋"/>
          <w:sz w:val="32"/>
          <w:szCs w:val="32"/>
        </w:rPr>
        <w:t>内蒙古不动产登记代理中介机构资信等级评定结果及时在内蒙古不动产调查登记与估价协会网站和内蒙古不动产微信公众号公布，纳入内蒙古自治区自然资源信用评价体系和信用内蒙古，为各级不动产登记部门择优选择不动产登记代理中介机构延伸不动产登记端口提供参考。</w:t>
      </w:r>
    </w:p>
    <w:p>
      <w:pPr>
        <w:ind w:firstLine="640" w:firstLineChars="200"/>
        <w:rPr>
          <w:rFonts w:hint="eastAsia" w:ascii="仿宋" w:hAnsi="仿宋" w:eastAsia="仿宋" w:cs="仿宋"/>
          <w:sz w:val="32"/>
          <w:szCs w:val="32"/>
        </w:rPr>
      </w:pPr>
      <w:r>
        <w:rPr>
          <w:rFonts w:hint="eastAsia" w:ascii="黑体" w:hAnsi="黑体" w:eastAsia="黑体" w:cs="仿宋"/>
          <w:bCs/>
          <w:sz w:val="32"/>
          <w:szCs w:val="32"/>
        </w:rPr>
        <w:t xml:space="preserve">第五条 </w:t>
      </w:r>
      <w:r>
        <w:rPr>
          <w:rFonts w:hint="eastAsia" w:ascii="仿宋" w:hAnsi="仿宋" w:eastAsia="仿宋" w:cs="仿宋"/>
          <w:sz w:val="32"/>
          <w:szCs w:val="32"/>
        </w:rPr>
        <w:t>资信评级内容包括不动产登记代理中介机构的基本情况、专业力量、内部管理、行业形象、从业行为、服务态度、相关业绩等。内蒙古不动产调查登记与估价协会将通过日常监督检查、专项检查、受理企业和群众投诉举报等方式对不动产登记代理中介机构进行信用管理。</w:t>
      </w:r>
    </w:p>
    <w:p>
      <w:pPr>
        <w:ind w:firstLine="640" w:firstLineChars="200"/>
        <w:rPr>
          <w:rFonts w:ascii="仿宋" w:hAnsi="仿宋" w:eastAsia="仿宋" w:cs="仿宋"/>
          <w:sz w:val="32"/>
          <w:szCs w:val="32"/>
        </w:rPr>
      </w:pPr>
      <w:r>
        <w:rPr>
          <w:rFonts w:hint="eastAsia" w:ascii="黑体" w:hAnsi="黑体" w:eastAsia="黑体" w:cs="仿宋"/>
          <w:bCs/>
          <w:sz w:val="32"/>
          <w:szCs w:val="32"/>
        </w:rPr>
        <w:t xml:space="preserve">第六条 </w:t>
      </w:r>
      <w:r>
        <w:rPr>
          <w:rFonts w:hint="eastAsia" w:ascii="仿宋" w:hAnsi="仿宋" w:eastAsia="仿宋" w:cs="仿宋"/>
          <w:sz w:val="32"/>
          <w:szCs w:val="32"/>
        </w:rPr>
        <w:t>内蒙古不动产登记代理中介机构资信评级实行百分制，低于60分的不予评级。资信等级共分为三个等级，按最终得分由高往低依次分为：资信AAA（20%的土</w:t>
      </w:r>
      <w:r>
        <w:rPr>
          <w:rFonts w:hint="eastAsia" w:ascii="仿宋" w:hAnsi="仿宋" w:eastAsia="仿宋" w:cs="仿宋"/>
          <w:kern w:val="0"/>
          <w:sz w:val="32"/>
          <w:szCs w:val="32"/>
        </w:rPr>
        <w:t>地调查单位</w:t>
      </w:r>
      <w:r>
        <w:rPr>
          <w:rFonts w:hint="eastAsia" w:ascii="仿宋" w:hAnsi="仿宋" w:eastAsia="仿宋" w:cs="仿宋"/>
          <w:sz w:val="32"/>
          <w:szCs w:val="32"/>
        </w:rPr>
        <w:t>）、资信AA（40%的土</w:t>
      </w:r>
      <w:r>
        <w:rPr>
          <w:rFonts w:hint="eastAsia" w:ascii="仿宋" w:hAnsi="仿宋" w:eastAsia="仿宋" w:cs="仿宋"/>
          <w:kern w:val="0"/>
          <w:sz w:val="32"/>
          <w:szCs w:val="32"/>
        </w:rPr>
        <w:t>地调查单位</w:t>
      </w:r>
      <w:r>
        <w:rPr>
          <w:rFonts w:hint="eastAsia" w:ascii="仿宋" w:hAnsi="仿宋" w:eastAsia="仿宋" w:cs="仿宋"/>
          <w:sz w:val="32"/>
          <w:szCs w:val="32"/>
        </w:rPr>
        <w:t>）、资信A（40%的土</w:t>
      </w:r>
      <w:r>
        <w:rPr>
          <w:rFonts w:hint="eastAsia" w:ascii="仿宋" w:hAnsi="仿宋" w:eastAsia="仿宋" w:cs="仿宋"/>
          <w:kern w:val="0"/>
          <w:sz w:val="32"/>
          <w:szCs w:val="32"/>
        </w:rPr>
        <w:t>地调查单位</w:t>
      </w:r>
      <w:r>
        <w:rPr>
          <w:rFonts w:hint="eastAsia" w:ascii="仿宋" w:hAnsi="仿宋" w:eastAsia="仿宋" w:cs="仿宋"/>
          <w:sz w:val="32"/>
          <w:szCs w:val="32"/>
        </w:rPr>
        <w:t>）。</w:t>
      </w:r>
    </w:p>
    <w:p>
      <w:pPr>
        <w:jc w:val="center"/>
        <w:rPr>
          <w:rFonts w:ascii="黑体" w:hAnsi="黑体" w:eastAsia="黑体" w:cs="黑体"/>
          <w:kern w:val="0"/>
          <w:sz w:val="32"/>
          <w:szCs w:val="32"/>
        </w:rPr>
      </w:pPr>
      <w:r>
        <w:rPr>
          <w:rFonts w:hint="eastAsia" w:ascii="黑体" w:hAnsi="黑体" w:eastAsia="黑体" w:cs="黑体"/>
          <w:kern w:val="0"/>
          <w:sz w:val="32"/>
          <w:szCs w:val="32"/>
        </w:rPr>
        <w:t>第二章  评定程序与管理</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第七</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资信评级评定程序：</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（一）拟开通不动产登记端口的不动产登记代理机构均可自愿参加</w:t>
      </w:r>
      <w:r>
        <w:rPr>
          <w:rFonts w:hint="eastAsia" w:ascii="仿宋" w:hAnsi="仿宋" w:eastAsia="仿宋" w:cs="仿宋"/>
          <w:sz w:val="32"/>
          <w:szCs w:val="32"/>
        </w:rPr>
        <w:t>内蒙古不动产登记代理中介机构</w:t>
      </w:r>
      <w:r>
        <w:rPr>
          <w:rFonts w:hint="eastAsia" w:ascii="仿宋" w:hAnsi="仿宋" w:eastAsia="仿宋" w:cs="仿宋"/>
          <w:kern w:val="0"/>
          <w:sz w:val="32"/>
          <w:szCs w:val="32"/>
        </w:rPr>
        <w:t>资信等级评定；</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（二）参加资信等级评定的</w:t>
      </w:r>
      <w:r>
        <w:rPr>
          <w:rFonts w:hint="eastAsia" w:ascii="仿宋" w:hAnsi="仿宋" w:eastAsia="仿宋" w:cs="仿宋"/>
          <w:sz w:val="32"/>
          <w:szCs w:val="32"/>
        </w:rPr>
        <w:t>内蒙古不动产登记代理中介机构</w:t>
      </w:r>
      <w:r>
        <w:rPr>
          <w:rFonts w:hint="eastAsia" w:ascii="仿宋" w:hAnsi="仿宋" w:eastAsia="仿宋" w:cs="仿宋"/>
          <w:kern w:val="0"/>
          <w:sz w:val="32"/>
          <w:szCs w:val="32"/>
        </w:rPr>
        <w:t>按要求提交</w:t>
      </w:r>
      <w:r>
        <w:rPr>
          <w:rFonts w:hint="eastAsia" w:ascii="仿宋" w:hAnsi="仿宋" w:eastAsia="仿宋" w:cs="仿宋"/>
          <w:sz w:val="32"/>
          <w:szCs w:val="32"/>
        </w:rPr>
        <w:t>相关</w:t>
      </w:r>
      <w:r>
        <w:rPr>
          <w:rFonts w:hint="eastAsia" w:ascii="仿宋" w:hAnsi="仿宋" w:eastAsia="仿宋" w:cs="仿宋"/>
          <w:kern w:val="0"/>
          <w:sz w:val="32"/>
          <w:szCs w:val="32"/>
        </w:rPr>
        <w:t>资信等级评定申请资料；</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（三）内蒙古不动产调查登记与估价协会组织对申请表和上报的相关材料进行初审；</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内蒙古不动产调查登记与估价协会组织资信等级评定专家组，依据《内蒙古不动产登记代理中介机构资信等级评分指标》设定的标准分值进行评分，对不能由评分反映的特殊情况，专家组提出书面意见。资信等级评定专家组由3-5人组成；</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（五）根据专家的评分，形成最终评定结果；</w:t>
      </w:r>
    </w:p>
    <w:p>
      <w:pPr>
        <w:ind w:firstLine="640" w:firstLineChars="200"/>
        <w:rPr>
          <w:rFonts w:ascii="仿宋" w:hAnsi="仿宋" w:eastAsia="仿宋" w:cs="仿宋"/>
          <w:b/>
          <w:bCs/>
          <w:kern w:val="0"/>
          <w:sz w:val="32"/>
          <w:szCs w:val="32"/>
        </w:rPr>
      </w:pPr>
      <w:r>
        <w:rPr>
          <w:rFonts w:hint="eastAsia" w:ascii="仿宋" w:hAnsi="仿宋" w:eastAsia="仿宋" w:cs="仿宋"/>
          <w:kern w:val="0"/>
          <w:sz w:val="32"/>
          <w:szCs w:val="32"/>
        </w:rPr>
        <w:t>（六）资信等级评定结果向社会公示，无异议的，由内蒙古不动产调查登记与估价协会向内蒙古不动产登记代理中介机构颁发资信等级证书。</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第八条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资信等级证书有效期为一年。</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第九条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内蒙古不动产调查登记与估价协会将适时组织对参加资信评级的内蒙古不动产登记代理中介机构进行抽查，如发现有违反行业自律的行为或低于资信评级条件的现象，给予警告、通报批评；情节严重的，按照评审程序取消称号、收回已获得的资信证书，并向社会公布。</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第十条</w:t>
      </w:r>
      <w:r>
        <w:rPr>
          <w:rFonts w:hint="eastAsia" w:ascii="仿宋" w:hAnsi="仿宋" w:eastAsia="仿宋" w:cs="仿宋"/>
          <w:kern w:val="0"/>
          <w:sz w:val="32"/>
          <w:szCs w:val="32"/>
        </w:rPr>
        <w:t xml:space="preserve"> 申报机构对评级结果存有异议的，可在公示期内向内蒙古不动产调查登记与估价协会申请复议。</w:t>
      </w:r>
    </w:p>
    <w:p>
      <w:pPr>
        <w:jc w:val="center"/>
        <w:rPr>
          <w:rFonts w:ascii="黑体" w:hAnsi="黑体" w:eastAsia="黑体" w:cs="黑体"/>
          <w:kern w:val="0"/>
          <w:sz w:val="32"/>
          <w:szCs w:val="32"/>
        </w:rPr>
      </w:pPr>
      <w:r>
        <w:rPr>
          <w:rFonts w:hint="eastAsia" w:ascii="黑体" w:hAnsi="黑体" w:eastAsia="黑体" w:cs="黑体"/>
          <w:kern w:val="0"/>
          <w:sz w:val="32"/>
          <w:szCs w:val="32"/>
        </w:rPr>
        <w:t>第三章  行业自律责任</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第十一条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参评内蒙古不动产登记代理中介机构应如实报送评级资料，对蓄意报送虚假不实信息的机构，经查实后，取消当次评级资格，追究其责任，记入机构信用档案，并向社会公布。</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第十二条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资信评级过程中，评审专家如有失公正，对资信评级工作造成影响的，停止其评审资格；内蒙古不动产调查登记与估价协会工作人员如有以权谋私，影响行业声誉的，追究相关责任、并按相应管理制度处罚。</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第十三条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内蒙古不动产登记代理中介机构获得资信等级后，应严格自律，维护企业声誉。</w:t>
      </w:r>
    </w:p>
    <w:p>
      <w:pPr>
        <w:jc w:val="center"/>
        <w:rPr>
          <w:rFonts w:ascii="黑体" w:hAnsi="黑体" w:eastAsia="黑体" w:cs="黑体"/>
          <w:kern w:val="0"/>
          <w:sz w:val="32"/>
          <w:szCs w:val="32"/>
        </w:rPr>
      </w:pPr>
      <w:r>
        <w:rPr>
          <w:rFonts w:hint="eastAsia" w:ascii="黑体" w:hAnsi="黑体" w:eastAsia="黑体" w:cs="黑体"/>
          <w:kern w:val="0"/>
          <w:sz w:val="32"/>
          <w:szCs w:val="32"/>
        </w:rPr>
        <w:t>第四章   附  则</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第十四条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本办法附《内蒙古不动产登记代理中介机构资信等级评分表》（见附表）。</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第十五条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本办法由</w:t>
      </w:r>
      <w:r>
        <w:rPr>
          <w:rFonts w:hint="eastAsia" w:ascii="仿宋" w:hAnsi="仿宋" w:eastAsia="仿宋" w:cs="仿宋"/>
          <w:sz w:val="32"/>
          <w:szCs w:val="32"/>
        </w:rPr>
        <w:t>内蒙古不动产调查登记与估价协会</w:t>
      </w:r>
      <w:r>
        <w:rPr>
          <w:rFonts w:hint="eastAsia" w:ascii="仿宋" w:hAnsi="仿宋" w:eastAsia="仿宋" w:cs="仿宋"/>
          <w:kern w:val="0"/>
          <w:sz w:val="32"/>
          <w:szCs w:val="32"/>
        </w:rPr>
        <w:t>负责解释。</w:t>
      </w:r>
    </w:p>
    <w:p>
      <w:pPr>
        <w:ind w:firstLine="640" w:firstLineChars="200"/>
        <w:rPr>
          <w:rFonts w:ascii="仿宋" w:hAnsi="仿宋" w:eastAsia="仿宋" w:cs="仿宋"/>
          <w:kern w:val="0"/>
          <w:sz w:val="32"/>
          <w:szCs w:val="32"/>
        </w:rPr>
      </w:pPr>
      <w:r>
        <w:rPr>
          <w:rFonts w:hint="eastAsia" w:ascii="黑体" w:hAnsi="黑体" w:eastAsia="黑体" w:cs="仿宋"/>
          <w:bCs/>
          <w:sz w:val="32"/>
          <w:szCs w:val="32"/>
        </w:rPr>
        <w:t>第十六条</w:t>
      </w:r>
      <w:r>
        <w:rPr>
          <w:rFonts w:hint="eastAsia" w:ascii="仿宋" w:hAnsi="仿宋" w:eastAsia="仿宋" w:cs="仿宋"/>
          <w:b/>
          <w:bCs/>
          <w:kern w:val="0"/>
          <w:sz w:val="32"/>
          <w:szCs w:val="32"/>
        </w:rPr>
        <w:t xml:space="preserve"> </w:t>
      </w:r>
      <w:r>
        <w:rPr>
          <w:rFonts w:hint="eastAsia" w:ascii="仿宋" w:hAnsi="仿宋" w:eastAsia="仿宋" w:cs="仿宋"/>
          <w:kern w:val="0"/>
          <w:sz w:val="32"/>
          <w:szCs w:val="32"/>
        </w:rPr>
        <w:t>本办法自公布之日起实施。</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tbl>
      <w:tblPr>
        <w:tblStyle w:val="2"/>
        <w:tblpPr w:leftFromText="180" w:rightFromText="180" w:vertAnchor="page" w:horzAnchor="page" w:tblpX="715" w:tblpY="60"/>
        <w:tblW w:w="10830" w:type="dxa"/>
        <w:tblInd w:w="0" w:type="dxa"/>
        <w:tblLayout w:type="autofit"/>
        <w:tblCellMar>
          <w:top w:w="0" w:type="dxa"/>
          <w:left w:w="108" w:type="dxa"/>
          <w:bottom w:w="0" w:type="dxa"/>
          <w:right w:w="108" w:type="dxa"/>
        </w:tblCellMar>
      </w:tblPr>
      <w:tblGrid>
        <w:gridCol w:w="1244"/>
        <w:gridCol w:w="3803"/>
        <w:gridCol w:w="739"/>
        <w:gridCol w:w="82"/>
        <w:gridCol w:w="1742"/>
        <w:gridCol w:w="1082"/>
        <w:gridCol w:w="1081"/>
        <w:gridCol w:w="1057"/>
      </w:tblGrid>
      <w:tr>
        <w:tblPrEx>
          <w:tblCellMar>
            <w:top w:w="0" w:type="dxa"/>
            <w:left w:w="108" w:type="dxa"/>
            <w:bottom w:w="0" w:type="dxa"/>
            <w:right w:w="108" w:type="dxa"/>
          </w:tblCellMar>
        </w:tblPrEx>
        <w:trPr>
          <w:trHeight w:val="818" w:hRule="atLeast"/>
        </w:trPr>
        <w:tc>
          <w:tcPr>
            <w:tcW w:w="10830" w:type="dxa"/>
            <w:gridSpan w:val="8"/>
            <w:tcBorders>
              <w:top w:val="nil"/>
              <w:left w:val="nil"/>
              <w:bottom w:val="nil"/>
              <w:right w:val="nil"/>
            </w:tcBorders>
            <w:noWrap w:val="0"/>
            <w:vAlign w:val="center"/>
          </w:tcPr>
          <w:p>
            <w:pPr>
              <w:widowControl/>
              <w:jc w:val="center"/>
              <w:rPr>
                <w:rFonts w:hint="eastAsia" w:ascii="宋体" w:hAnsi="宋体" w:cs="宋体"/>
                <w:b/>
                <w:bCs/>
                <w:color w:val="FFFFFF"/>
                <w:kern w:val="0"/>
                <w:sz w:val="32"/>
                <w:szCs w:val="32"/>
              </w:rPr>
            </w:pPr>
            <w:r>
              <w:rPr>
                <w:rFonts w:hint="eastAsia" w:ascii="宋体" w:hAnsi="宋体" w:cs="宋体"/>
                <w:b/>
                <w:bCs/>
                <w:color w:val="FFFFFF"/>
                <w:kern w:val="0"/>
                <w:sz w:val="32"/>
                <w:szCs w:val="32"/>
              </w:rPr>
              <w:t>内</w:t>
            </w:r>
          </w:p>
          <w:p>
            <w:pPr>
              <w:widowControl/>
              <w:jc w:val="center"/>
              <w:rPr>
                <w:rFonts w:hint="eastAsia" w:ascii="宋体" w:hAnsi="宋体" w:cs="宋体"/>
                <w:b/>
                <w:bCs/>
                <w:color w:val="FFFFFF"/>
                <w:kern w:val="0"/>
                <w:sz w:val="32"/>
                <w:szCs w:val="32"/>
              </w:rPr>
            </w:pPr>
          </w:p>
          <w:p>
            <w:pPr>
              <w:widowControl/>
              <w:rPr>
                <w:rFonts w:hint="eastAsia" w:ascii="宋体" w:hAnsi="宋体" w:cs="宋体"/>
                <w:b/>
                <w:bCs/>
                <w:color w:val="000000"/>
                <w:kern w:val="0"/>
                <w:sz w:val="32"/>
                <w:szCs w:val="32"/>
              </w:rPr>
            </w:pPr>
            <w:r>
              <w:rPr>
                <w:rFonts w:hint="eastAsia" w:ascii="宋体" w:hAnsi="宋体" w:cs="宋体"/>
                <w:b/>
                <w:bCs/>
                <w:color w:val="000000"/>
                <w:kern w:val="0"/>
                <w:sz w:val="32"/>
                <w:szCs w:val="32"/>
              </w:rPr>
              <w:t>附表：</w:t>
            </w:r>
          </w:p>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内蒙古不动产登记代理中介机构资信等级评分表</w:t>
            </w:r>
          </w:p>
        </w:tc>
      </w:tr>
      <w:tr>
        <w:tblPrEx>
          <w:tblCellMar>
            <w:top w:w="0" w:type="dxa"/>
            <w:left w:w="108" w:type="dxa"/>
            <w:bottom w:w="0" w:type="dxa"/>
            <w:right w:w="108" w:type="dxa"/>
          </w:tblCellMar>
        </w:tblPrEx>
        <w:trPr>
          <w:trHeight w:val="347" w:hRule="atLeast"/>
        </w:trPr>
        <w:tc>
          <w:tcPr>
            <w:tcW w:w="12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机构名称：</w:t>
            </w:r>
          </w:p>
        </w:tc>
        <w:tc>
          <w:tcPr>
            <w:tcW w:w="7448"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08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0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268" w:hRule="atLeast"/>
        </w:trPr>
        <w:tc>
          <w:tcPr>
            <w:tcW w:w="124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科目</w:t>
            </w:r>
          </w:p>
        </w:tc>
        <w:tc>
          <w:tcPr>
            <w:tcW w:w="3803"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评审指标</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满分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判定依据</w:t>
            </w:r>
          </w:p>
        </w:tc>
        <w:tc>
          <w:tcPr>
            <w:tcW w:w="108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初评得分</w:t>
            </w:r>
          </w:p>
        </w:tc>
        <w:tc>
          <w:tcPr>
            <w:tcW w:w="1081"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专家审核</w:t>
            </w:r>
          </w:p>
        </w:tc>
        <w:tc>
          <w:tcPr>
            <w:tcW w:w="1057"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594" w:hRule="atLeast"/>
        </w:trPr>
        <w:tc>
          <w:tcPr>
            <w:tcW w:w="124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基</w:t>
            </w:r>
            <w:r>
              <w:rPr>
                <w:rFonts w:hint="eastAsia" w:ascii="宋体" w:hAnsi="宋体" w:cs="宋体"/>
                <w:b/>
                <w:bCs/>
                <w:color w:val="000000"/>
                <w:kern w:val="0"/>
                <w:sz w:val="22"/>
              </w:rPr>
              <w:br w:type="textWrapping"/>
            </w:r>
            <w:r>
              <w:rPr>
                <w:rFonts w:hint="eastAsia" w:ascii="宋体" w:hAnsi="宋体" w:cs="宋体"/>
                <w:b/>
                <w:bCs/>
                <w:color w:val="000000"/>
                <w:kern w:val="0"/>
                <w:sz w:val="22"/>
              </w:rPr>
              <w:t>本</w:t>
            </w:r>
            <w:r>
              <w:rPr>
                <w:rFonts w:hint="eastAsia" w:ascii="宋体" w:hAnsi="宋体" w:cs="宋体"/>
                <w:b/>
                <w:bCs/>
                <w:color w:val="000000"/>
                <w:kern w:val="0"/>
                <w:sz w:val="22"/>
              </w:rPr>
              <w:br w:type="textWrapping"/>
            </w:r>
            <w:r>
              <w:rPr>
                <w:rFonts w:hint="eastAsia" w:ascii="宋体" w:hAnsi="宋体" w:cs="宋体"/>
                <w:b/>
                <w:bCs/>
                <w:color w:val="000000"/>
                <w:kern w:val="0"/>
                <w:sz w:val="22"/>
              </w:rPr>
              <w:t>情</w:t>
            </w:r>
            <w:r>
              <w:rPr>
                <w:rFonts w:hint="eastAsia" w:ascii="宋体" w:hAnsi="宋体" w:cs="宋体"/>
                <w:b/>
                <w:bCs/>
                <w:color w:val="000000"/>
                <w:kern w:val="0"/>
                <w:sz w:val="22"/>
              </w:rPr>
              <w:br w:type="textWrapping"/>
            </w:r>
            <w:r>
              <w:rPr>
                <w:rFonts w:hint="eastAsia" w:ascii="宋体" w:hAnsi="宋体" w:cs="宋体"/>
                <w:b/>
                <w:bCs/>
                <w:color w:val="000000"/>
                <w:kern w:val="0"/>
                <w:sz w:val="22"/>
              </w:rPr>
              <w:t>况</w:t>
            </w:r>
            <w:r>
              <w:rPr>
                <w:rFonts w:hint="eastAsia" w:ascii="宋体" w:hAnsi="宋体" w:cs="宋体"/>
                <w:b/>
                <w:bCs/>
                <w:color w:val="000000"/>
                <w:kern w:val="0"/>
                <w:sz w:val="22"/>
              </w:rPr>
              <w:br w:type="textWrapping"/>
            </w:r>
            <w:r>
              <w:rPr>
                <w:rFonts w:hint="eastAsia" w:ascii="宋体" w:hAnsi="宋体" w:cs="宋体"/>
                <w:b/>
                <w:bCs/>
                <w:color w:val="000000"/>
                <w:kern w:val="0"/>
                <w:sz w:val="22"/>
              </w:rPr>
              <w:t>20</w:t>
            </w:r>
            <w:r>
              <w:rPr>
                <w:rFonts w:hint="eastAsia" w:ascii="宋体" w:hAnsi="宋体" w:cs="宋体"/>
                <w:b/>
                <w:bCs/>
                <w:color w:val="000000"/>
                <w:kern w:val="0"/>
                <w:sz w:val="22"/>
              </w:rPr>
              <w:br w:type="textWrapping"/>
            </w:r>
            <w:r>
              <w:rPr>
                <w:rFonts w:hint="eastAsia" w:ascii="宋体" w:hAnsi="宋体" w:cs="宋体"/>
                <w:b/>
                <w:bCs/>
                <w:color w:val="000000"/>
                <w:kern w:val="0"/>
                <w:sz w:val="22"/>
              </w:rPr>
              <w:t>分</w:t>
            </w: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（1）机构成立时间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＜3年/1分，≥3年/3分，≥5年/5分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工商执照注明成立时间或成立批文</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49"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（2）注册资金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＜10万/1分，≥50万/2分，≥100万/3分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工商执照</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49"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（3）办公场所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租赁房产1分，自有房产2分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租赁合同/不动产权证书</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56"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（4）必要的办公设备</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办公区域图片</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71"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（5）不动产登记代理备案证书</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登记证书</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41"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（6）其他不动产相关业务资格   1分/1项</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资质证书</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54" w:hRule="atLeast"/>
        </w:trPr>
        <w:tc>
          <w:tcPr>
            <w:tcW w:w="124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专</w:t>
            </w:r>
            <w:r>
              <w:rPr>
                <w:rFonts w:hint="eastAsia" w:ascii="宋体" w:hAnsi="宋体" w:cs="宋体"/>
                <w:b/>
                <w:bCs/>
                <w:color w:val="000000"/>
                <w:kern w:val="0"/>
                <w:sz w:val="22"/>
              </w:rPr>
              <w:br w:type="textWrapping"/>
            </w:r>
            <w:r>
              <w:rPr>
                <w:rFonts w:hint="eastAsia" w:ascii="宋体" w:hAnsi="宋体" w:cs="宋体"/>
                <w:b/>
                <w:bCs/>
                <w:color w:val="000000"/>
                <w:kern w:val="0"/>
                <w:sz w:val="22"/>
              </w:rPr>
              <w:t>业</w:t>
            </w:r>
            <w:r>
              <w:rPr>
                <w:rFonts w:hint="eastAsia" w:ascii="宋体" w:hAnsi="宋体" w:cs="宋体"/>
                <w:b/>
                <w:bCs/>
                <w:color w:val="000000"/>
                <w:kern w:val="0"/>
                <w:sz w:val="22"/>
              </w:rPr>
              <w:br w:type="textWrapping"/>
            </w:r>
            <w:r>
              <w:rPr>
                <w:rFonts w:hint="eastAsia" w:ascii="宋体" w:hAnsi="宋体" w:cs="宋体"/>
                <w:b/>
                <w:bCs/>
                <w:color w:val="000000"/>
                <w:kern w:val="0"/>
                <w:sz w:val="22"/>
              </w:rPr>
              <w:t>力</w:t>
            </w:r>
            <w:r>
              <w:rPr>
                <w:rFonts w:hint="eastAsia" w:ascii="宋体" w:hAnsi="宋体" w:cs="宋体"/>
                <w:b/>
                <w:bCs/>
                <w:color w:val="000000"/>
                <w:kern w:val="0"/>
                <w:sz w:val="22"/>
              </w:rPr>
              <w:br w:type="textWrapping"/>
            </w:r>
            <w:r>
              <w:rPr>
                <w:rFonts w:hint="eastAsia" w:ascii="宋体" w:hAnsi="宋体" w:cs="宋体"/>
                <w:b/>
                <w:bCs/>
                <w:color w:val="000000"/>
                <w:kern w:val="0"/>
                <w:sz w:val="22"/>
              </w:rPr>
              <w:t>量</w:t>
            </w:r>
            <w:r>
              <w:rPr>
                <w:rFonts w:hint="eastAsia" w:ascii="宋体" w:hAnsi="宋体" w:cs="宋体"/>
                <w:b/>
                <w:bCs/>
                <w:color w:val="000000"/>
                <w:kern w:val="0"/>
                <w:sz w:val="22"/>
              </w:rPr>
              <w:br w:type="textWrapping"/>
            </w:r>
            <w:r>
              <w:rPr>
                <w:rFonts w:hint="eastAsia" w:ascii="宋体" w:hAnsi="宋体" w:cs="宋体"/>
                <w:b/>
                <w:bCs/>
                <w:color w:val="000000"/>
                <w:kern w:val="0"/>
                <w:sz w:val="22"/>
              </w:rPr>
              <w:t>15</w:t>
            </w:r>
            <w:r>
              <w:rPr>
                <w:rFonts w:hint="eastAsia" w:ascii="宋体" w:hAnsi="宋体" w:cs="宋体"/>
                <w:b/>
                <w:bCs/>
                <w:color w:val="000000"/>
                <w:kern w:val="0"/>
                <w:sz w:val="22"/>
              </w:rPr>
              <w:br w:type="textWrapping"/>
            </w:r>
            <w:r>
              <w:rPr>
                <w:rFonts w:hint="eastAsia" w:ascii="宋体" w:hAnsi="宋体" w:cs="宋体"/>
                <w:b/>
                <w:bCs/>
                <w:color w:val="000000"/>
                <w:kern w:val="0"/>
                <w:sz w:val="22"/>
              </w:rPr>
              <w:t>分</w:t>
            </w: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（1）机构不动产登记代理相关人员人数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≥8人/1分，≥15人/3分，≥25人/5分；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社保证明</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846"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（2）中高级职称的专业技术人员人数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≥2人/1分，≥6人/2分，≥8人/3分，≥10人/4分；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职称证书</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143"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（3）专业人员情况  房地产经纪人协理、初级经济专业技术资格证书0.5分/人；不动产登记代理人、房地产经纪人、中级与高级经济专业技术资格证书1分/人</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资格证书/证明</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49" w:hRule="atLeast"/>
        </w:trPr>
        <w:tc>
          <w:tcPr>
            <w:tcW w:w="124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内</w:t>
            </w:r>
            <w:r>
              <w:rPr>
                <w:rFonts w:hint="eastAsia" w:ascii="宋体" w:hAnsi="宋体" w:cs="宋体"/>
                <w:b/>
                <w:bCs/>
                <w:color w:val="000000"/>
                <w:kern w:val="0"/>
                <w:sz w:val="22"/>
              </w:rPr>
              <w:br w:type="textWrapping"/>
            </w:r>
            <w:r>
              <w:rPr>
                <w:rFonts w:hint="eastAsia" w:ascii="宋体" w:hAnsi="宋体" w:cs="宋体"/>
                <w:b/>
                <w:bCs/>
                <w:color w:val="000000"/>
                <w:kern w:val="0"/>
                <w:sz w:val="22"/>
              </w:rPr>
              <w:t>部</w:t>
            </w:r>
            <w:r>
              <w:rPr>
                <w:rFonts w:hint="eastAsia" w:ascii="宋体" w:hAnsi="宋体" w:cs="宋体"/>
                <w:b/>
                <w:bCs/>
                <w:color w:val="000000"/>
                <w:kern w:val="0"/>
                <w:sz w:val="22"/>
              </w:rPr>
              <w:br w:type="textWrapping"/>
            </w:r>
            <w:r>
              <w:rPr>
                <w:rFonts w:hint="eastAsia" w:ascii="宋体" w:hAnsi="宋体" w:cs="宋体"/>
                <w:b/>
                <w:bCs/>
                <w:color w:val="000000"/>
                <w:kern w:val="0"/>
                <w:sz w:val="22"/>
              </w:rPr>
              <w:t>管</w:t>
            </w:r>
            <w:r>
              <w:rPr>
                <w:rFonts w:hint="eastAsia" w:ascii="宋体" w:hAnsi="宋体" w:cs="宋体"/>
                <w:b/>
                <w:bCs/>
                <w:color w:val="000000"/>
                <w:kern w:val="0"/>
                <w:sz w:val="22"/>
              </w:rPr>
              <w:br w:type="textWrapping"/>
            </w:r>
            <w:r>
              <w:rPr>
                <w:rFonts w:hint="eastAsia" w:ascii="宋体" w:hAnsi="宋体" w:cs="宋体"/>
                <w:b/>
                <w:bCs/>
                <w:color w:val="000000"/>
                <w:kern w:val="0"/>
                <w:sz w:val="22"/>
              </w:rPr>
              <w:t>理</w:t>
            </w:r>
            <w:r>
              <w:rPr>
                <w:rFonts w:hint="eastAsia" w:ascii="宋体" w:hAnsi="宋体" w:cs="宋体"/>
                <w:b/>
                <w:bCs/>
                <w:color w:val="000000"/>
                <w:kern w:val="0"/>
                <w:sz w:val="22"/>
              </w:rPr>
              <w:br w:type="textWrapping"/>
            </w:r>
            <w:r>
              <w:rPr>
                <w:rFonts w:hint="eastAsia" w:ascii="宋体" w:hAnsi="宋体" w:cs="宋体"/>
                <w:b/>
                <w:bCs/>
                <w:color w:val="000000"/>
                <w:kern w:val="0"/>
                <w:sz w:val="22"/>
              </w:rPr>
              <w:t>水</w:t>
            </w:r>
            <w:r>
              <w:rPr>
                <w:rFonts w:hint="eastAsia" w:ascii="宋体" w:hAnsi="宋体" w:cs="宋体"/>
                <w:b/>
                <w:bCs/>
                <w:color w:val="000000"/>
                <w:kern w:val="0"/>
                <w:sz w:val="22"/>
              </w:rPr>
              <w:br w:type="textWrapping"/>
            </w:r>
            <w:r>
              <w:rPr>
                <w:rFonts w:hint="eastAsia" w:ascii="宋体" w:hAnsi="宋体" w:cs="宋体"/>
                <w:b/>
                <w:bCs/>
                <w:color w:val="000000"/>
                <w:kern w:val="0"/>
                <w:sz w:val="22"/>
              </w:rPr>
              <w:t>平</w:t>
            </w:r>
            <w:r>
              <w:rPr>
                <w:rFonts w:hint="eastAsia" w:ascii="宋体" w:hAnsi="宋体" w:cs="宋体"/>
                <w:b/>
                <w:bCs/>
                <w:color w:val="000000"/>
                <w:kern w:val="0"/>
                <w:sz w:val="22"/>
              </w:rPr>
              <w:br w:type="textWrapping"/>
            </w:r>
            <w:r>
              <w:rPr>
                <w:rFonts w:hint="eastAsia" w:ascii="宋体" w:hAnsi="宋体" w:cs="宋体"/>
                <w:b/>
                <w:bCs/>
                <w:color w:val="000000"/>
                <w:kern w:val="0"/>
                <w:sz w:val="22"/>
              </w:rPr>
              <w:t>22</w:t>
            </w:r>
            <w:r>
              <w:rPr>
                <w:rFonts w:hint="eastAsia" w:ascii="宋体" w:hAnsi="宋体" w:cs="宋体"/>
                <w:b/>
                <w:bCs/>
                <w:color w:val="000000"/>
                <w:kern w:val="0"/>
                <w:sz w:val="22"/>
              </w:rPr>
              <w:br w:type="textWrapping"/>
            </w:r>
            <w:r>
              <w:rPr>
                <w:rFonts w:hint="eastAsia" w:ascii="宋体" w:hAnsi="宋体" w:cs="宋体"/>
                <w:b/>
                <w:bCs/>
                <w:color w:val="000000"/>
                <w:kern w:val="0"/>
                <w:sz w:val="22"/>
              </w:rPr>
              <w:t>分</w:t>
            </w:r>
          </w:p>
        </w:tc>
        <w:tc>
          <w:tcPr>
            <w:tcW w:w="38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（1）机构章程及内部管理制度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不齐全1分，齐全3分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附制度</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770"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（2）档案管理制度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归档、存放、使用不规范1分，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归档、存放、使用较规范2分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附制度，存放图片等证明文件</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9"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（3）保密管理制度</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附制度</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95"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（4）收费合理，按照代理的工作量和工作难易度，结合市场规则，制定合理的收费标准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附制度，公示图片等证明文件</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0"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（5）信息公示和告知义务，是否正确宣传不动产登记法律法规，是否正确引导权利人办理不动产登记代理业务</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附公示图片及书面告知内容等证明文件</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318"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（6）不动产登记代理合同文本规范，是否明确代理内容、代理权限、代理费用和违约责任等有关事项</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附范式合同</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19"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（7）使用不动产登记端口是否规范</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根据不动产登记机构反馈意见</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29" w:hRule="atLeast"/>
        </w:trPr>
        <w:tc>
          <w:tcPr>
            <w:tcW w:w="124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（8）党建工作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成立党组织/2分，开展活动/1分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附审批文件及实践相关证明</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80" w:hRule="atLeast"/>
        </w:trPr>
        <w:tc>
          <w:tcPr>
            <w:tcW w:w="124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行</w:t>
            </w:r>
            <w:r>
              <w:rPr>
                <w:rFonts w:hint="eastAsia" w:ascii="宋体" w:hAnsi="宋体" w:cs="宋体"/>
                <w:b/>
                <w:bCs/>
                <w:color w:val="000000"/>
                <w:kern w:val="0"/>
                <w:sz w:val="22"/>
              </w:rPr>
              <w:br w:type="textWrapping"/>
            </w:r>
            <w:r>
              <w:rPr>
                <w:rFonts w:hint="eastAsia" w:ascii="宋体" w:hAnsi="宋体" w:cs="宋体"/>
                <w:b/>
                <w:bCs/>
                <w:color w:val="000000"/>
                <w:kern w:val="0"/>
                <w:sz w:val="22"/>
              </w:rPr>
              <w:t>业</w:t>
            </w:r>
            <w:r>
              <w:rPr>
                <w:rFonts w:hint="eastAsia" w:ascii="宋体" w:hAnsi="宋体" w:cs="宋体"/>
                <w:b/>
                <w:bCs/>
                <w:color w:val="000000"/>
                <w:kern w:val="0"/>
                <w:sz w:val="22"/>
              </w:rPr>
              <w:br w:type="textWrapping"/>
            </w:r>
            <w:r>
              <w:rPr>
                <w:rFonts w:hint="eastAsia" w:ascii="宋体" w:hAnsi="宋体" w:cs="宋体"/>
                <w:b/>
                <w:bCs/>
                <w:color w:val="000000"/>
                <w:kern w:val="0"/>
                <w:sz w:val="22"/>
              </w:rPr>
              <w:t>及</w:t>
            </w:r>
            <w:r>
              <w:rPr>
                <w:rFonts w:hint="eastAsia" w:ascii="宋体" w:hAnsi="宋体" w:cs="宋体"/>
                <w:b/>
                <w:bCs/>
                <w:color w:val="000000"/>
                <w:kern w:val="0"/>
                <w:sz w:val="22"/>
              </w:rPr>
              <w:br w:type="textWrapping"/>
            </w:r>
            <w:r>
              <w:rPr>
                <w:rFonts w:hint="eastAsia" w:ascii="宋体" w:hAnsi="宋体" w:cs="宋体"/>
                <w:b/>
                <w:bCs/>
                <w:color w:val="000000"/>
                <w:kern w:val="0"/>
                <w:sz w:val="22"/>
              </w:rPr>
              <w:t>社</w:t>
            </w:r>
            <w:r>
              <w:rPr>
                <w:rFonts w:hint="eastAsia" w:ascii="宋体" w:hAnsi="宋体" w:cs="宋体"/>
                <w:b/>
                <w:bCs/>
                <w:color w:val="000000"/>
                <w:kern w:val="0"/>
                <w:sz w:val="22"/>
              </w:rPr>
              <w:br w:type="textWrapping"/>
            </w:r>
            <w:r>
              <w:rPr>
                <w:rFonts w:hint="eastAsia" w:ascii="宋体" w:hAnsi="宋体" w:cs="宋体"/>
                <w:b/>
                <w:bCs/>
                <w:color w:val="000000"/>
                <w:kern w:val="0"/>
                <w:sz w:val="22"/>
              </w:rPr>
              <w:t>会</w:t>
            </w:r>
            <w:r>
              <w:rPr>
                <w:rFonts w:hint="eastAsia" w:ascii="宋体" w:hAnsi="宋体" w:cs="宋体"/>
                <w:b/>
                <w:bCs/>
                <w:color w:val="000000"/>
                <w:kern w:val="0"/>
                <w:sz w:val="22"/>
              </w:rPr>
              <w:br w:type="textWrapping"/>
            </w:r>
            <w:r>
              <w:rPr>
                <w:rFonts w:hint="eastAsia" w:ascii="宋体" w:hAnsi="宋体" w:cs="宋体"/>
                <w:b/>
                <w:bCs/>
                <w:color w:val="000000"/>
                <w:kern w:val="0"/>
                <w:sz w:val="22"/>
              </w:rPr>
              <w:t>形</w:t>
            </w:r>
            <w:r>
              <w:rPr>
                <w:rFonts w:hint="eastAsia" w:ascii="宋体" w:hAnsi="宋体" w:cs="宋体"/>
                <w:b/>
                <w:bCs/>
                <w:color w:val="000000"/>
                <w:kern w:val="0"/>
                <w:sz w:val="22"/>
              </w:rPr>
              <w:br w:type="textWrapping"/>
            </w:r>
            <w:r>
              <w:rPr>
                <w:rFonts w:hint="eastAsia" w:ascii="宋体" w:hAnsi="宋体" w:cs="宋体"/>
                <w:b/>
                <w:bCs/>
                <w:color w:val="000000"/>
                <w:kern w:val="0"/>
                <w:sz w:val="22"/>
              </w:rPr>
              <w:t>象</w:t>
            </w:r>
            <w:r>
              <w:rPr>
                <w:rFonts w:hint="eastAsia" w:ascii="宋体" w:hAnsi="宋体" w:cs="宋体"/>
                <w:b/>
                <w:bCs/>
                <w:color w:val="000000"/>
                <w:kern w:val="0"/>
                <w:sz w:val="22"/>
              </w:rPr>
              <w:br w:type="textWrapping"/>
            </w:r>
            <w:r>
              <w:rPr>
                <w:rFonts w:hint="eastAsia" w:ascii="宋体" w:hAnsi="宋体" w:cs="宋体"/>
                <w:b/>
                <w:bCs/>
                <w:color w:val="000000"/>
                <w:kern w:val="0"/>
                <w:sz w:val="22"/>
              </w:rPr>
              <w:t>16</w:t>
            </w:r>
            <w:r>
              <w:rPr>
                <w:rFonts w:hint="eastAsia" w:ascii="宋体" w:hAnsi="宋体" w:cs="宋体"/>
                <w:b/>
                <w:bCs/>
                <w:color w:val="000000"/>
                <w:kern w:val="0"/>
                <w:sz w:val="22"/>
              </w:rPr>
              <w:br w:type="textWrapping"/>
            </w:r>
            <w:r>
              <w:rPr>
                <w:rFonts w:hint="eastAsia" w:ascii="宋体" w:hAnsi="宋体" w:cs="宋体"/>
                <w:b/>
                <w:bCs/>
                <w:color w:val="000000"/>
                <w:kern w:val="0"/>
                <w:sz w:val="22"/>
              </w:rPr>
              <w:t>分</w:t>
            </w: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（1）缴纳团体会费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按时缴纳/3分，年底前缴纳/1分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缴费收据</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175"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（2）企业纳税（万元，含增值税、所得税）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＜8/0.4分，8~10/0.8分，10~20/1.2分，20~35/1.6分，35~55/2分，55~80/2.5分，≥80/3分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缴税发票</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893"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（3）机构行业贡献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机构创新性成果1分，机构按要求参与当年协会专项活动1分，机构内人员参与行业公益活动加0.5分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证明材料及协会相关材料</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595"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（4）机构社会贡献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社会公益活动、捐助等，0.5分/1项</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证明材料</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811"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（5）机构学术水平建设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课题/0.6分/1个，公开发表（含行业内刊）著作论文（署名不分主次）/0.5分/1篇，参与协会书籍的撰写讨论、发表/0.5分/1次，为协会提供有价值的报告/1分/1篇，积极参与协会的继续教育/1分/1次</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证明材料</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733"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（6）机构形象宣传建设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网站/1分，微信公众平台/1分，微博/1分，机构内刊1分，报广等媒介宣传/1分/1次</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证明材料</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714" w:hRule="atLeast"/>
        </w:trPr>
        <w:tc>
          <w:tcPr>
            <w:tcW w:w="124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（7）获得工商、银行、税务等部门授予的良好资信评级，获得一项得1分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3分</w:t>
            </w:r>
          </w:p>
        </w:tc>
        <w:tc>
          <w:tcPr>
            <w:tcW w:w="1824"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证明材料</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714" w:hRule="atLeast"/>
        </w:trPr>
        <w:tc>
          <w:tcPr>
            <w:tcW w:w="124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不动产</w:t>
            </w:r>
          </w:p>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登记</w:t>
            </w:r>
          </w:p>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代理</w:t>
            </w:r>
          </w:p>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相关</w:t>
            </w:r>
          </w:p>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业绩</w:t>
            </w:r>
          </w:p>
          <w:p>
            <w:pPr>
              <w:widowControl/>
              <w:jc w:val="center"/>
              <w:rPr>
                <w:rFonts w:ascii="宋体" w:hAnsi="宋体" w:cs="宋体"/>
                <w:b/>
                <w:bCs/>
                <w:color w:val="000000"/>
                <w:kern w:val="0"/>
                <w:sz w:val="22"/>
              </w:rPr>
            </w:pPr>
            <w:r>
              <w:rPr>
                <w:rFonts w:hint="eastAsia" w:ascii="宋体" w:hAnsi="宋体" w:cs="宋体"/>
                <w:b/>
                <w:bCs/>
                <w:color w:val="000000"/>
                <w:kern w:val="0"/>
                <w:sz w:val="22"/>
              </w:rPr>
              <w:t>27分</w:t>
            </w: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（1）近一年不动产登记代理业务量</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＜10个合同量/3分，10-20个/5分 ，21-30个/7分，＞30个/10分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10分</w:t>
            </w:r>
          </w:p>
        </w:tc>
        <w:tc>
          <w:tcPr>
            <w:tcW w:w="1824"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签订合同</w:t>
            </w: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96" w:hRule="atLeast"/>
        </w:trPr>
        <w:tc>
          <w:tcPr>
            <w:tcW w:w="1244"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（2）近一年不动产代理累计合同额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＜20万/3分，20万-50万/5分， ≥50/8分</w:t>
            </w:r>
          </w:p>
        </w:tc>
        <w:tc>
          <w:tcPr>
            <w:tcW w:w="73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8分</w:t>
            </w:r>
          </w:p>
        </w:tc>
        <w:tc>
          <w:tcPr>
            <w:tcW w:w="1824"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8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81"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05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696" w:hRule="atLeast"/>
        </w:trPr>
        <w:tc>
          <w:tcPr>
            <w:tcW w:w="1244" w:type="dxa"/>
            <w:vMerge w:val="continue"/>
            <w:tcBorders>
              <w:left w:val="single" w:color="auto" w:sz="4" w:space="0"/>
              <w:right w:val="single" w:color="auto" w:sz="4" w:space="0"/>
            </w:tcBorders>
            <w:noWrap w:val="0"/>
            <w:vAlign w:val="center"/>
          </w:tcPr>
          <w:p>
            <w:pPr>
              <w:widowControl/>
              <w:jc w:val="center"/>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（3）在不动产登记代理过程中，上报的信息材料是否完整和真实   完整2分，真实2分</w:t>
            </w:r>
          </w:p>
        </w:tc>
        <w:tc>
          <w:tcPr>
            <w:tcW w:w="73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4分</w:t>
            </w:r>
          </w:p>
        </w:tc>
        <w:tc>
          <w:tcPr>
            <w:tcW w:w="1824" w:type="dxa"/>
            <w:gridSpan w:val="2"/>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根据报送的信息</w:t>
            </w:r>
          </w:p>
        </w:tc>
        <w:tc>
          <w:tcPr>
            <w:tcW w:w="108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rPr>
            </w:pPr>
          </w:p>
        </w:tc>
        <w:tc>
          <w:tcPr>
            <w:tcW w:w="1081"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rPr>
            </w:pPr>
          </w:p>
        </w:tc>
        <w:tc>
          <w:tcPr>
            <w:tcW w:w="1057"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696" w:hRule="atLeast"/>
        </w:trPr>
        <w:tc>
          <w:tcPr>
            <w:tcW w:w="1244" w:type="dxa"/>
            <w:vMerge w:val="continue"/>
            <w:tcBorders>
              <w:left w:val="single" w:color="auto" w:sz="4" w:space="0"/>
              <w:bottom w:val="nil"/>
              <w:right w:val="single" w:color="auto" w:sz="4" w:space="0"/>
            </w:tcBorders>
            <w:noWrap w:val="0"/>
            <w:vAlign w:val="center"/>
          </w:tcPr>
          <w:p>
            <w:pPr>
              <w:widowControl/>
              <w:jc w:val="center"/>
              <w:rPr>
                <w:rFonts w:ascii="宋体" w:hAnsi="宋体" w:cs="宋体"/>
                <w:b/>
                <w:bCs/>
                <w:color w:val="000000"/>
                <w:kern w:val="0"/>
                <w:sz w:val="22"/>
              </w:rPr>
            </w:pPr>
          </w:p>
        </w:tc>
        <w:tc>
          <w:tcPr>
            <w:tcW w:w="380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（4）不动产登记代理权力人对于登记代理过程的满意度，不满意1次扣一分，投诉并核实属实的一次扣3分</w:t>
            </w:r>
          </w:p>
        </w:tc>
        <w:tc>
          <w:tcPr>
            <w:tcW w:w="73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5分</w:t>
            </w:r>
          </w:p>
        </w:tc>
        <w:tc>
          <w:tcPr>
            <w:tcW w:w="1824" w:type="dxa"/>
            <w:gridSpan w:val="2"/>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随机回访权利人</w:t>
            </w:r>
          </w:p>
        </w:tc>
        <w:tc>
          <w:tcPr>
            <w:tcW w:w="108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rPr>
            </w:pPr>
          </w:p>
        </w:tc>
        <w:tc>
          <w:tcPr>
            <w:tcW w:w="1081"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rPr>
            </w:pPr>
          </w:p>
        </w:tc>
        <w:tc>
          <w:tcPr>
            <w:tcW w:w="1057"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17" w:hRule="atLeast"/>
        </w:trPr>
        <w:tc>
          <w:tcPr>
            <w:tcW w:w="761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合计得分：</w:t>
            </w:r>
          </w:p>
        </w:tc>
        <w:tc>
          <w:tcPr>
            <w:tcW w:w="3220"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461" w:hRule="atLeast"/>
        </w:trPr>
        <w:tc>
          <w:tcPr>
            <w:tcW w:w="5047" w:type="dxa"/>
            <w:gridSpan w:val="2"/>
            <w:tcBorders>
              <w:top w:val="nil"/>
              <w:left w:val="nil"/>
              <w:bottom w:val="nil"/>
              <w:right w:val="nil"/>
            </w:tcBorders>
            <w:noWrap/>
            <w:vAlign w:val="center"/>
          </w:tcPr>
          <w:p>
            <w:pPr>
              <w:widowControl/>
              <w:ind w:firstLine="663" w:firstLineChars="300"/>
              <w:jc w:val="left"/>
              <w:rPr>
                <w:rFonts w:ascii="宋体" w:hAnsi="宋体" w:cs="宋体"/>
                <w:b/>
                <w:bCs/>
                <w:color w:val="000000"/>
                <w:kern w:val="0"/>
                <w:sz w:val="22"/>
              </w:rPr>
            </w:pPr>
            <w:r>
              <w:rPr>
                <w:rFonts w:hint="eastAsia" w:ascii="宋体" w:hAnsi="宋体" w:cs="宋体"/>
                <w:b/>
                <w:bCs/>
                <w:color w:val="000000"/>
                <w:kern w:val="0"/>
                <w:sz w:val="22"/>
              </w:rPr>
              <w:t>初评签字：</w:t>
            </w:r>
          </w:p>
        </w:tc>
        <w:tc>
          <w:tcPr>
            <w:tcW w:w="821"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c>
          <w:tcPr>
            <w:tcW w:w="1742" w:type="dxa"/>
            <w:tcBorders>
              <w:top w:val="nil"/>
              <w:left w:val="nil"/>
              <w:bottom w:val="nil"/>
              <w:right w:val="nil"/>
            </w:tcBorders>
            <w:noWrap/>
            <w:vAlign w:val="center"/>
          </w:tcPr>
          <w:p>
            <w:pPr>
              <w:widowControl/>
              <w:jc w:val="center"/>
              <w:rPr>
                <w:rFonts w:ascii="宋体" w:hAnsi="宋体" w:cs="宋体"/>
                <w:color w:val="000000"/>
                <w:kern w:val="0"/>
                <w:sz w:val="22"/>
              </w:rPr>
            </w:pPr>
          </w:p>
        </w:tc>
        <w:tc>
          <w:tcPr>
            <w:tcW w:w="1082"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081"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057" w:type="dxa"/>
            <w:tcBorders>
              <w:top w:val="nil"/>
              <w:left w:val="nil"/>
              <w:bottom w:val="nil"/>
              <w:right w:val="nil"/>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2" w:hRule="atLeast"/>
        </w:trPr>
        <w:tc>
          <w:tcPr>
            <w:tcW w:w="5047" w:type="dxa"/>
            <w:gridSpan w:val="2"/>
            <w:tcBorders>
              <w:top w:val="nil"/>
              <w:left w:val="nil"/>
              <w:bottom w:val="nil"/>
              <w:right w:val="nil"/>
            </w:tcBorders>
            <w:noWrap/>
            <w:vAlign w:val="center"/>
          </w:tcPr>
          <w:p>
            <w:pPr>
              <w:widowControl/>
              <w:ind w:firstLine="663" w:firstLineChars="300"/>
              <w:jc w:val="left"/>
              <w:rPr>
                <w:rFonts w:ascii="宋体" w:hAnsi="宋体" w:cs="宋体"/>
                <w:b/>
                <w:bCs/>
                <w:color w:val="000000"/>
                <w:kern w:val="0"/>
                <w:sz w:val="22"/>
              </w:rPr>
            </w:pPr>
            <w:r>
              <w:rPr>
                <w:rFonts w:hint="eastAsia" w:ascii="宋体" w:hAnsi="宋体" w:cs="宋体"/>
                <w:b/>
                <w:bCs/>
                <w:color w:val="000000"/>
                <w:kern w:val="0"/>
                <w:sz w:val="22"/>
              </w:rPr>
              <w:t>专家签字：</w:t>
            </w:r>
          </w:p>
        </w:tc>
        <w:tc>
          <w:tcPr>
            <w:tcW w:w="821" w:type="dxa"/>
            <w:gridSpan w:val="2"/>
            <w:tcBorders>
              <w:top w:val="nil"/>
              <w:left w:val="nil"/>
              <w:bottom w:val="nil"/>
              <w:right w:val="nil"/>
            </w:tcBorders>
            <w:noWrap/>
            <w:vAlign w:val="center"/>
          </w:tcPr>
          <w:p>
            <w:pPr>
              <w:widowControl/>
              <w:jc w:val="center"/>
              <w:rPr>
                <w:rFonts w:ascii="宋体" w:hAnsi="宋体" w:cs="宋体"/>
                <w:color w:val="000000"/>
                <w:kern w:val="0"/>
                <w:sz w:val="22"/>
              </w:rPr>
            </w:pPr>
          </w:p>
        </w:tc>
        <w:tc>
          <w:tcPr>
            <w:tcW w:w="1742" w:type="dxa"/>
            <w:tcBorders>
              <w:top w:val="nil"/>
              <w:left w:val="nil"/>
              <w:bottom w:val="nil"/>
              <w:right w:val="nil"/>
            </w:tcBorders>
            <w:noWrap/>
            <w:vAlign w:val="center"/>
          </w:tcPr>
          <w:p>
            <w:pPr>
              <w:widowControl/>
              <w:jc w:val="center"/>
              <w:rPr>
                <w:rFonts w:ascii="宋体" w:hAnsi="宋体" w:cs="宋体"/>
                <w:color w:val="000000"/>
                <w:kern w:val="0"/>
                <w:sz w:val="22"/>
              </w:rPr>
            </w:pPr>
          </w:p>
        </w:tc>
        <w:tc>
          <w:tcPr>
            <w:tcW w:w="1082"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081" w:type="dxa"/>
            <w:tcBorders>
              <w:top w:val="nil"/>
              <w:left w:val="nil"/>
              <w:bottom w:val="nil"/>
              <w:right w:val="nil"/>
            </w:tcBorders>
            <w:noWrap/>
            <w:vAlign w:val="center"/>
          </w:tcPr>
          <w:p>
            <w:pPr>
              <w:widowControl/>
              <w:jc w:val="left"/>
              <w:rPr>
                <w:rFonts w:ascii="宋体" w:hAnsi="宋体" w:cs="宋体"/>
                <w:color w:val="000000"/>
                <w:kern w:val="0"/>
                <w:sz w:val="22"/>
              </w:rPr>
            </w:pPr>
          </w:p>
        </w:tc>
        <w:tc>
          <w:tcPr>
            <w:tcW w:w="1057" w:type="dxa"/>
            <w:tcBorders>
              <w:top w:val="nil"/>
              <w:left w:val="nil"/>
              <w:bottom w:val="nil"/>
              <w:right w:val="nil"/>
            </w:tcBorders>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1026" w:hRule="atLeast"/>
        </w:trPr>
        <w:tc>
          <w:tcPr>
            <w:tcW w:w="10830" w:type="dxa"/>
            <w:gridSpan w:val="8"/>
            <w:tcBorders>
              <w:top w:val="nil"/>
              <w:left w:val="nil"/>
              <w:bottom w:val="nil"/>
              <w:right w:val="nil"/>
            </w:tcBorders>
            <w:noWrap w:val="0"/>
            <w:vAlign w:val="center"/>
          </w:tcPr>
          <w:p>
            <w:pPr>
              <w:widowControl/>
              <w:ind w:firstLine="720" w:firstLineChars="400"/>
              <w:jc w:val="left"/>
              <w:rPr>
                <w:rFonts w:ascii="宋体" w:hAnsi="宋体" w:cs="宋体"/>
                <w:color w:val="000000"/>
                <w:kern w:val="0"/>
                <w:sz w:val="18"/>
                <w:szCs w:val="18"/>
              </w:rPr>
            </w:pPr>
            <w:r>
              <w:rPr>
                <w:rFonts w:hint="eastAsia" w:ascii="宋体" w:hAnsi="宋体" w:cs="宋体"/>
                <w:color w:val="000000"/>
                <w:kern w:val="0"/>
                <w:sz w:val="18"/>
                <w:szCs w:val="18"/>
              </w:rPr>
              <w:t>注：1.上报材料的编排、印刷、装帧，评分专家可有2%的扣减裁量权；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2.业绩瞒报、虚报、无申报者取消参评资格；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3.违反法律、法规和行业自律规定的，取消参评资格；</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4.经查实存在弄虚作假、无视登记质量的，取消参评资格。</w:t>
            </w:r>
          </w:p>
        </w:tc>
      </w:tr>
    </w:tbl>
    <w:p>
      <w:pPr>
        <w:rPr>
          <w:rFonts w:hint="eastAsia" w:ascii="宋体" w:hAnsi="宋体"/>
          <w:b/>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pPr>
        <w:rPr>
          <w:rFonts w:hint="eastAsia" w:ascii="宋体" w:hAnsi="宋体"/>
          <w:b/>
          <w:bCs/>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D43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2021-04-16T07:34:13Z</dcterms:created>
  <dc:creator>等风的风筝</dc:creator>
  <cp:lastModifiedBy>等风的风筝</cp:lastModifiedBy>
  <dcterms:modified xsi:type="dcterms:W3CDTF">2021-04-16T07:34:40Z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